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59" w:rsidRDefault="00712E80">
      <w:pPr>
        <w:rPr>
          <w:rFonts w:cstheme="minorHAnsi"/>
          <w:b/>
          <w:i/>
          <w:sz w:val="28"/>
          <w:szCs w:val="20"/>
          <w:u w:val="single"/>
        </w:rPr>
      </w:pPr>
      <w:r>
        <w:rPr>
          <w:rFonts w:cstheme="minorHAnsi"/>
          <w:b/>
          <w:i/>
          <w:sz w:val="28"/>
          <w:szCs w:val="20"/>
          <w:u w:val="single"/>
        </w:rPr>
        <w:t>Appendice 2</w:t>
      </w:r>
      <w:r w:rsidR="003C1958" w:rsidRPr="00442DA4">
        <w:rPr>
          <w:rFonts w:cstheme="minorHAnsi"/>
          <w:b/>
          <w:i/>
          <w:sz w:val="28"/>
          <w:szCs w:val="20"/>
          <w:u w:val="single"/>
        </w:rPr>
        <w:t xml:space="preserve"> – </w:t>
      </w:r>
      <w:r w:rsidR="00035483">
        <w:rPr>
          <w:rFonts w:cstheme="minorHAnsi"/>
          <w:b/>
          <w:i/>
          <w:sz w:val="28"/>
          <w:szCs w:val="20"/>
          <w:u w:val="single"/>
        </w:rPr>
        <w:t>Fornitura trattamenti di dialisi ed. 5</w:t>
      </w:r>
      <w:bookmarkStart w:id="0" w:name="_GoBack"/>
      <w:bookmarkEnd w:id="0"/>
      <w:r w:rsidR="003C1958">
        <w:rPr>
          <w:rFonts w:cstheme="minorHAnsi"/>
          <w:b/>
          <w:i/>
          <w:sz w:val="28"/>
          <w:szCs w:val="20"/>
          <w:u w:val="single"/>
        </w:rPr>
        <w:t xml:space="preserve">– “Caratteristiche </w:t>
      </w:r>
      <w:r>
        <w:rPr>
          <w:rFonts w:cstheme="minorHAnsi"/>
          <w:b/>
          <w:i/>
          <w:sz w:val="28"/>
          <w:szCs w:val="20"/>
          <w:u w:val="single"/>
        </w:rPr>
        <w:t>migliorative</w:t>
      </w:r>
      <w:r w:rsidR="003C1958" w:rsidRPr="00442DA4">
        <w:rPr>
          <w:rFonts w:cstheme="minorHAnsi"/>
          <w:b/>
          <w:i/>
          <w:sz w:val="28"/>
          <w:szCs w:val="20"/>
          <w:u w:val="single"/>
        </w:rPr>
        <w:t>”</w:t>
      </w:r>
    </w:p>
    <w:p w:rsidR="00EA3E45" w:rsidRPr="000C5510" w:rsidRDefault="00EA3E45" w:rsidP="00EA3E45">
      <w:pPr>
        <w:pStyle w:val="Paragrafoelenco"/>
        <w:spacing w:after="120" w:line="276" w:lineRule="auto"/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5510">
        <w:rPr>
          <w:rFonts w:asciiTheme="minorHAnsi" w:hAnsiTheme="minorHAnsi" w:cs="Arial"/>
          <w:b/>
          <w:bCs/>
          <w:sz w:val="20"/>
          <w:szCs w:val="20"/>
        </w:rPr>
        <w:t>Trattamenti di dialisi extracorporea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993"/>
        <w:gridCol w:w="4394"/>
      </w:tblGrid>
      <w:tr w:rsidR="00EA3E45" w:rsidTr="00EA3E45">
        <w:tc>
          <w:tcPr>
            <w:tcW w:w="4536" w:type="dxa"/>
            <w:shd w:val="clear" w:color="auto" w:fill="BFBFBF" w:themeFill="background1" w:themeFillShade="BF"/>
          </w:tcPr>
          <w:p w:rsidR="00EA3E45" w:rsidRPr="00851013" w:rsidRDefault="00EA3E45" w:rsidP="002E14D2">
            <w:pPr>
              <w:rPr>
                <w:rFonts w:ascii="Calibri" w:hAnsi="Calibri" w:cs="Calibri"/>
                <w:b/>
              </w:rPr>
            </w:pPr>
            <w:r w:rsidRPr="00851013">
              <w:rPr>
                <w:rFonts w:ascii="Calibri" w:hAnsi="Calibri" w:cs="Calibri"/>
                <w:b/>
              </w:rPr>
              <w:t>Caratteristiche tecniche migliorative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A3E45" w:rsidRPr="00851013" w:rsidRDefault="00EA3E45" w:rsidP="002E1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Idonea (SI/NO)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EA3E45" w:rsidRPr="00851013" w:rsidRDefault="00EA3E45" w:rsidP="002E1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Motivazione</w:t>
            </w:r>
          </w:p>
        </w:tc>
      </w:tr>
      <w:tr w:rsidR="00EA3E45" w:rsidTr="00EA3E45">
        <w:tc>
          <w:tcPr>
            <w:tcW w:w="9923" w:type="dxa"/>
            <w:gridSpan w:val="3"/>
            <w:shd w:val="clear" w:color="auto" w:fill="BFBFBF" w:themeFill="background1" w:themeFillShade="BF"/>
          </w:tcPr>
          <w:p w:rsidR="00EA3E45" w:rsidRPr="006916EF" w:rsidRDefault="00EA3E45" w:rsidP="002E14D2">
            <w:pPr>
              <w:pStyle w:val="Paragrafoelenco"/>
              <w:spacing w:after="120" w:line="276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16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SICUREZZA</w:t>
            </w: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8670FE" w:rsidRDefault="00EA3E45" w:rsidP="002E14D2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18227A">
              <w:rPr>
                <w:rFonts w:asciiTheme="minorHAnsi" w:hAnsiTheme="minorHAnsi" w:cstheme="minorHAnsi"/>
                <w:color w:val="000000"/>
              </w:rPr>
              <w:t>Possibilità di monitoraggio post pompa, dei regimi pressori e/o della reologia del circuito all'ingresso del dializzatore in tutte le tipologie di trattamento oggetto della fornitura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18227A">
              <w:rPr>
                <w:rFonts w:asciiTheme="minorHAnsi" w:hAnsiTheme="minorHAnsi" w:cstheme="minorHAnsi"/>
                <w:b/>
                <w:color w:val="000000"/>
              </w:rPr>
              <w:t>Processi di preparazione dei fluidi per dialisi: sistemi implementati</w:t>
            </w:r>
          </w:p>
          <w:p w:rsidR="00EA3E45" w:rsidRPr="0018227A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8227A">
              <w:rPr>
                <w:rFonts w:asciiTheme="minorHAnsi" w:hAnsiTheme="minorHAnsi" w:cstheme="minorHAnsi"/>
                <w:sz w:val="20"/>
                <w:szCs w:val="20"/>
              </w:rPr>
              <w:t xml:space="preserve">Modalità con cui la macchina può garantire la preparazione online di liquido per dialisi </w:t>
            </w:r>
            <w:proofErr w:type="spellStart"/>
            <w:r w:rsidRPr="0018227A">
              <w:rPr>
                <w:rFonts w:asciiTheme="minorHAnsi" w:hAnsiTheme="minorHAnsi" w:cstheme="minorHAnsi"/>
                <w:sz w:val="20"/>
                <w:szCs w:val="20"/>
              </w:rPr>
              <w:t>utrapuro</w:t>
            </w:r>
            <w:proofErr w:type="spellEnd"/>
            <w:r w:rsidRPr="0018227A">
              <w:rPr>
                <w:rFonts w:asciiTheme="minorHAnsi" w:hAnsiTheme="minorHAnsi" w:cstheme="minorHAnsi"/>
                <w:sz w:val="20"/>
                <w:szCs w:val="20"/>
              </w:rPr>
              <w:t xml:space="preserve"> e di liquido sterile non pirogenico per infusione in </w:t>
            </w:r>
            <w:proofErr w:type="spellStart"/>
            <w:r w:rsidRPr="0018227A">
              <w:rPr>
                <w:rFonts w:asciiTheme="minorHAnsi" w:hAnsiTheme="minorHAnsi" w:cstheme="minorHAnsi"/>
                <w:sz w:val="20"/>
                <w:szCs w:val="20"/>
              </w:rPr>
              <w:t>emodiafiltrazione</w:t>
            </w:r>
            <w:proofErr w:type="spellEnd"/>
            <w:r w:rsidRPr="0018227A">
              <w:rPr>
                <w:rFonts w:asciiTheme="minorHAnsi" w:hAnsiTheme="minorHAnsi" w:cstheme="minorHAnsi"/>
                <w:sz w:val="20"/>
                <w:szCs w:val="20"/>
              </w:rPr>
              <w:t xml:space="preserve">, secondo standard internazionali (ISO 11663 e 23500-5), con particolare riferimento alla descrizione degli ultrafiltri, alle performance nominali degli stessi in termini di capacità ritentiva batterica e </w:t>
            </w:r>
            <w:proofErr w:type="spellStart"/>
            <w:r w:rsidRPr="0018227A">
              <w:rPr>
                <w:rFonts w:asciiTheme="minorHAnsi" w:hAnsiTheme="minorHAnsi" w:cstheme="minorHAnsi"/>
                <w:sz w:val="20"/>
                <w:szCs w:val="20"/>
              </w:rPr>
              <w:t>endotossinica</w:t>
            </w:r>
            <w:proofErr w:type="spellEnd"/>
            <w:r w:rsidRPr="0018227A">
              <w:rPr>
                <w:rFonts w:asciiTheme="minorHAnsi" w:hAnsiTheme="minorHAnsi" w:cstheme="minorHAnsi"/>
                <w:sz w:val="20"/>
                <w:szCs w:val="20"/>
              </w:rPr>
              <w:t>. Vanno inoltre fornite evidenze circa le indicazioni agli operatori  per la manutenzione.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916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TRATTAMENTO</w:t>
            </w: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18227A">
              <w:rPr>
                <w:rFonts w:asciiTheme="minorHAnsi" w:hAnsiTheme="minorHAnsi" w:cstheme="minorHAnsi"/>
                <w:b/>
                <w:color w:val="000000"/>
              </w:rPr>
              <w:t xml:space="preserve">Software di controllo per l'ottimizzazione dei flussi di </w:t>
            </w:r>
            <w:proofErr w:type="spellStart"/>
            <w:r w:rsidRPr="0018227A">
              <w:rPr>
                <w:rFonts w:asciiTheme="minorHAnsi" w:hAnsiTheme="minorHAnsi" w:cstheme="minorHAnsi"/>
                <w:b/>
                <w:color w:val="000000"/>
              </w:rPr>
              <w:t>reinfusione</w:t>
            </w:r>
            <w:proofErr w:type="spellEnd"/>
            <w:r w:rsidRPr="0018227A">
              <w:rPr>
                <w:rFonts w:asciiTheme="minorHAnsi" w:hAnsiTheme="minorHAnsi" w:cstheme="minorHAnsi"/>
                <w:b/>
                <w:color w:val="000000"/>
              </w:rPr>
              <w:t xml:space="preserve"> che, monitorando le variabili di Ultrafiltrazione (UF) e Pressione di </w:t>
            </w:r>
            <w:proofErr w:type="spellStart"/>
            <w:r w:rsidRPr="0018227A">
              <w:rPr>
                <w:rFonts w:asciiTheme="minorHAnsi" w:hAnsiTheme="minorHAnsi" w:cstheme="minorHAnsi"/>
                <w:b/>
                <w:color w:val="000000"/>
              </w:rPr>
              <w:t>TransMembrana</w:t>
            </w:r>
            <w:proofErr w:type="spellEnd"/>
            <w:r w:rsidRPr="0018227A">
              <w:rPr>
                <w:rFonts w:asciiTheme="minorHAnsi" w:hAnsiTheme="minorHAnsi" w:cstheme="minorHAnsi"/>
                <w:b/>
                <w:color w:val="000000"/>
              </w:rPr>
              <w:t xml:space="preserve"> (TMP), dia suggerimenti sulle modifiche delle condizioni operative o le modifichi automaticamente attraverso sistemi a retroazione ad ansa chiusa</w:t>
            </w:r>
          </w:p>
          <w:p w:rsidR="00EA3E45" w:rsidRPr="0018227A" w:rsidRDefault="00EA3E45" w:rsidP="002E14D2">
            <w:pPr>
              <w:rPr>
                <w:rFonts w:asciiTheme="minorHAnsi" w:hAnsiTheme="minorHAnsi" w:cstheme="minorHAnsi"/>
              </w:rPr>
            </w:pPr>
            <w:r w:rsidRPr="0018227A">
              <w:rPr>
                <w:rFonts w:asciiTheme="minorHAnsi" w:hAnsiTheme="minorHAnsi" w:cstheme="minorHAnsi"/>
              </w:rPr>
              <w:t>Presenza di sistemi di controllo e/o sistemi di biofeedback automatici ad ansa chiusa che agiscano in sinergia, cioè che vadano a mutare le condizioni operative dell’insieme paziente-apparecchiatura di dialisi senza necessità di interventi dall’esterno nel corso della seduta.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8670FE" w:rsidRDefault="00EA3E45" w:rsidP="002E14D2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18227A">
              <w:rPr>
                <w:rFonts w:asciiTheme="minorHAnsi" w:hAnsiTheme="minorHAnsi" w:cstheme="minorHAnsi"/>
                <w:color w:val="000000"/>
              </w:rPr>
              <w:t>Sistema integrato per la misura di ricircolo dell’accesso vascolare con visualizzazione del risultato sul display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18227A">
              <w:rPr>
                <w:rFonts w:asciiTheme="minorHAnsi" w:hAnsiTheme="minorHAnsi" w:cstheme="minorHAnsi"/>
                <w:b/>
                <w:color w:val="000000"/>
              </w:rPr>
              <w:t>Sistema dedicato alla prevenzione degli episodi ipotensivi con metodologia in biofeedback con controllo a retroazione dei parametri</w:t>
            </w:r>
          </w:p>
          <w:p w:rsidR="00EA3E45" w:rsidRPr="0018227A" w:rsidRDefault="00EA3E45" w:rsidP="002E14D2">
            <w:pPr>
              <w:rPr>
                <w:rFonts w:asciiTheme="minorHAnsi" w:hAnsiTheme="minorHAnsi" w:cstheme="minorHAnsi"/>
              </w:rPr>
            </w:pPr>
            <w:r w:rsidRPr="0018227A">
              <w:rPr>
                <w:rFonts w:asciiTheme="minorHAnsi" w:hAnsiTheme="minorHAnsi" w:cstheme="minorHAnsi"/>
              </w:rPr>
              <w:t xml:space="preserve">Disponibilità o meno di tali sistemi, indicazione di quali parametri del paziente sottoposto a seduta dialitica sono oggetto del controllo automatico, nonché  le modalità con cui tale controllo viene condotto dalla  apparecchiatura,  indicando i parametri che eventualmente vengono modificati in retroazione nel corso della seduta di dialisi, i parametri che devono essere impostati </w:t>
            </w:r>
            <w:r w:rsidRPr="0018227A">
              <w:rPr>
                <w:rFonts w:asciiTheme="minorHAnsi" w:hAnsiTheme="minorHAnsi" w:cstheme="minorHAnsi"/>
              </w:rPr>
              <w:lastRenderedPageBreak/>
              <w:t>dall’operatore e la visualizzazione dei dati relativi al controllo.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18227A">
              <w:rPr>
                <w:rFonts w:asciiTheme="minorHAnsi" w:hAnsiTheme="minorHAnsi" w:cstheme="minorHAnsi"/>
                <w:b/>
                <w:color w:val="000000"/>
              </w:rPr>
              <w:t xml:space="preserve">Presenza di sensori di volume ematico, saturazione ossigeno, urea rimossa ed altri eventuali, integrati senza </w:t>
            </w:r>
            <w:proofErr w:type="spellStart"/>
            <w:r w:rsidRPr="0018227A">
              <w:rPr>
                <w:rFonts w:asciiTheme="minorHAnsi" w:hAnsiTheme="minorHAnsi" w:cstheme="minorHAnsi"/>
                <w:b/>
                <w:i/>
                <w:color w:val="000000"/>
              </w:rPr>
              <w:t>disposable</w:t>
            </w:r>
            <w:proofErr w:type="spellEnd"/>
            <w:r w:rsidRPr="0018227A">
              <w:rPr>
                <w:rFonts w:asciiTheme="minorHAnsi" w:hAnsiTheme="minorHAnsi" w:cstheme="minorHAnsi"/>
                <w:b/>
                <w:color w:val="000000"/>
              </w:rPr>
              <w:t xml:space="preserve"> aggiuntivo, funzionanti in tutti i tipi di trattamenti, con visualizzazione a display, finalizzati al controllo della stabilità emodinamica e/o della efficienza dialitica</w:t>
            </w:r>
          </w:p>
          <w:p w:rsidR="00EA3E45" w:rsidRPr="0018227A" w:rsidRDefault="00EA3E45" w:rsidP="002E14D2">
            <w:pPr>
              <w:rPr>
                <w:rFonts w:asciiTheme="minorHAnsi" w:hAnsiTheme="minorHAnsi" w:cstheme="minorHAnsi"/>
              </w:rPr>
            </w:pPr>
            <w:r w:rsidRPr="0018227A">
              <w:rPr>
                <w:rFonts w:asciiTheme="minorHAnsi" w:hAnsiTheme="minorHAnsi" w:cstheme="minorHAnsi"/>
              </w:rPr>
              <w:t>Indicazione di quali e quanti sensori la macchina è dotata, il  loro scopo, il loro grado di invasività sul paziente, la semplicità nell’uso da parte dell’operatore, la visualizzazione dei dati rilevati a video in tempo reale, in pagine facilmente reperibili dal menu.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8670FE" w:rsidRDefault="00EA3E45" w:rsidP="002E14D2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18227A">
              <w:rPr>
                <w:rFonts w:asciiTheme="minorHAnsi" w:hAnsiTheme="minorHAnsi" w:cstheme="minorHAnsi"/>
                <w:color w:val="000000"/>
              </w:rPr>
              <w:t xml:space="preserve">Sistema integrato per la misura del </w:t>
            </w:r>
            <w:proofErr w:type="spellStart"/>
            <w:r w:rsidRPr="0018227A">
              <w:rPr>
                <w:rFonts w:asciiTheme="minorHAnsi" w:hAnsiTheme="minorHAnsi" w:cstheme="minorHAnsi"/>
                <w:color w:val="000000"/>
              </w:rPr>
              <w:t>Kt</w:t>
            </w:r>
            <w:proofErr w:type="spellEnd"/>
            <w:r w:rsidRPr="0018227A">
              <w:rPr>
                <w:rFonts w:asciiTheme="minorHAnsi" w:hAnsiTheme="minorHAnsi" w:cstheme="minorHAnsi"/>
                <w:color w:val="000000"/>
              </w:rPr>
              <w:t xml:space="preserve">/V in tutte le tipologie di trattamento oggetto della fornitura 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916E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CRITERI AMBIENTALI</w:t>
            </w: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18227A">
              <w:rPr>
                <w:rFonts w:asciiTheme="minorHAnsi" w:hAnsiTheme="minorHAnsi" w:cstheme="minorHAnsi"/>
                <w:b/>
              </w:rPr>
              <w:t>Sistemi/tecnologie, implementati nella apparecchiatura dialitica, e/o funzioni offerte incluse nel service, finalizzati al risparmio energetico e nell'ottica di una transizione ecologica del trattamento dialitico</w:t>
            </w:r>
          </w:p>
          <w:p w:rsidR="00EA3E45" w:rsidRPr="0018227A" w:rsidRDefault="00EA3E45" w:rsidP="002E14D2">
            <w:pPr>
              <w:rPr>
                <w:rFonts w:asciiTheme="minorHAnsi" w:hAnsiTheme="minorHAnsi" w:cstheme="minorHAnsi"/>
              </w:rPr>
            </w:pPr>
            <w:r w:rsidRPr="0018227A">
              <w:rPr>
                <w:rFonts w:asciiTheme="minorHAnsi" w:hAnsiTheme="minorHAnsi" w:cstheme="minorHAnsi"/>
              </w:rPr>
              <w:t>Indicazione delle tecnologie implementate sull’apparecchiatura finalizzate al risparmio di acqua e/o energia elettrica e se e come gli aspetti della protezione ambientale sono parte del programma costruttivo dell’apparecchiatura stessa. Descrivere, inoltre, eventuali caratteristiche relative alla fornitura dei materiali e del service proposto che possano rientrare nei programmi di transizione ecologica.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8670FE" w:rsidRDefault="00EA3E45" w:rsidP="002E14D2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18227A">
              <w:rPr>
                <w:rFonts w:asciiTheme="minorHAnsi" w:hAnsiTheme="minorHAnsi" w:cstheme="minorHAnsi"/>
                <w:color w:val="000000"/>
              </w:rPr>
              <w:t>Possibilità di collegamento e operatività dell’apparecchiatura con sistemi di distribuzione centralizzata del concentrato acido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C551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DIALIZZATORE</w:t>
            </w: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18227A">
              <w:rPr>
                <w:rFonts w:asciiTheme="minorHAnsi" w:hAnsiTheme="minorHAnsi" w:cstheme="minorHAnsi"/>
                <w:b/>
                <w:color w:val="000000"/>
              </w:rPr>
              <w:t>Filtro HD alto flusso</w:t>
            </w:r>
          </w:p>
          <w:p w:rsidR="00EA3E45" w:rsidRPr="008670FE" w:rsidRDefault="00EA3E45" w:rsidP="002E14D2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18227A">
              <w:rPr>
                <w:rFonts w:asciiTheme="minorHAnsi" w:hAnsiTheme="minorHAnsi" w:cstheme="minorHAnsi"/>
                <w:color w:val="000000"/>
              </w:rPr>
              <w:t xml:space="preserve">Clearance dei fosfati con superficie compresa tra 1,5 mq e 1,89 mq, considerando un valore di </w:t>
            </w:r>
            <w:proofErr w:type="spellStart"/>
            <w:r w:rsidRPr="0018227A">
              <w:rPr>
                <w:rFonts w:asciiTheme="minorHAnsi" w:hAnsiTheme="minorHAnsi" w:cstheme="minorHAnsi"/>
                <w:color w:val="000000"/>
              </w:rPr>
              <w:t>Qb</w:t>
            </w:r>
            <w:proofErr w:type="spellEnd"/>
            <w:r w:rsidRPr="0018227A">
              <w:rPr>
                <w:rFonts w:asciiTheme="minorHAnsi" w:hAnsiTheme="minorHAnsi" w:cstheme="minorHAnsi"/>
                <w:color w:val="000000"/>
              </w:rPr>
              <w:t>=300 ml/</w:t>
            </w:r>
            <w:proofErr w:type="spellStart"/>
            <w:r w:rsidRPr="0018227A">
              <w:rPr>
                <w:rFonts w:asciiTheme="minorHAnsi" w:hAnsiTheme="minorHAnsi" w:cstheme="minorHAnsi"/>
                <w:color w:val="000000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18227A">
              <w:rPr>
                <w:rFonts w:asciiTheme="minorHAnsi" w:hAnsiTheme="minorHAnsi" w:cstheme="minorHAnsi"/>
                <w:color w:val="000000"/>
              </w:rPr>
              <w:t>Qd</w:t>
            </w:r>
            <w:proofErr w:type="spellEnd"/>
            <w:r w:rsidRPr="0018227A">
              <w:rPr>
                <w:rFonts w:asciiTheme="minorHAnsi" w:hAnsiTheme="minorHAnsi" w:cstheme="minorHAnsi"/>
                <w:color w:val="000000"/>
              </w:rPr>
              <w:t>=500ml/</w:t>
            </w:r>
            <w:proofErr w:type="spellStart"/>
            <w:r w:rsidRPr="0018227A">
              <w:rPr>
                <w:rFonts w:asciiTheme="minorHAnsi" w:hAnsiTheme="minorHAnsi" w:cstheme="minorHAnsi"/>
                <w:color w:val="000000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color w:val="000000"/>
              </w:rPr>
              <w:t xml:space="preserve"> e </w:t>
            </w:r>
            <w:proofErr w:type="spellStart"/>
            <w:r w:rsidRPr="0018227A">
              <w:rPr>
                <w:rFonts w:asciiTheme="minorHAnsi" w:hAnsiTheme="minorHAnsi" w:cstheme="minorHAnsi"/>
                <w:color w:val="000000"/>
              </w:rPr>
              <w:t>Qf</w:t>
            </w:r>
            <w:proofErr w:type="spellEnd"/>
            <w:r w:rsidRPr="0018227A">
              <w:rPr>
                <w:rFonts w:asciiTheme="minorHAnsi" w:hAnsiTheme="minorHAnsi" w:cstheme="minorHAnsi"/>
                <w:color w:val="000000"/>
              </w:rPr>
              <w:t>=0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18227A">
              <w:rPr>
                <w:rFonts w:asciiTheme="minorHAnsi" w:hAnsiTheme="minorHAnsi" w:cstheme="minorHAnsi"/>
                <w:b/>
                <w:color w:val="000000"/>
              </w:rPr>
              <w:t>Filtro HD alto flusso</w:t>
            </w:r>
          </w:p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lang w:eastAsia="ar-SA"/>
              </w:rPr>
            </w:pPr>
            <w:r w:rsidRPr="0018227A">
              <w:rPr>
                <w:rFonts w:asciiTheme="minorHAnsi" w:hAnsiTheme="minorHAnsi" w:cstheme="minorHAnsi"/>
                <w:lang w:eastAsia="ar-SA"/>
              </w:rPr>
              <w:t xml:space="preserve">Clearance dei fosfati con superficie compresa tra 1,9 mq e 2,3 mq, considerando un valore di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Qb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=300 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,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Qd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=500ml/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 e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Qf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=0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18227A">
              <w:rPr>
                <w:rFonts w:asciiTheme="minorHAnsi" w:hAnsiTheme="minorHAnsi" w:cstheme="minorHAnsi"/>
                <w:b/>
                <w:color w:val="000000"/>
              </w:rPr>
              <w:t>Filtro HD alto flusso</w:t>
            </w:r>
          </w:p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lang w:eastAsia="ar-SA"/>
              </w:rPr>
            </w:pPr>
            <w:r w:rsidRPr="0018227A">
              <w:rPr>
                <w:rFonts w:asciiTheme="minorHAnsi" w:hAnsiTheme="minorHAnsi" w:cstheme="minorHAnsi"/>
                <w:lang w:eastAsia="ar-SA"/>
              </w:rPr>
              <w:t xml:space="preserve">Clearance della vitamina B12 con superficie compresa tra 1,5 mq e 1,89 mq, considerando un valore di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Qb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=300 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,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Qd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=500ml/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 e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Qf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=0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18227A">
              <w:rPr>
                <w:rFonts w:asciiTheme="minorHAnsi" w:hAnsiTheme="minorHAnsi" w:cstheme="minorHAnsi"/>
                <w:b/>
                <w:color w:val="000000"/>
              </w:rPr>
              <w:t>Filtro HD alto flusso</w:t>
            </w:r>
          </w:p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lang w:eastAsia="ar-SA"/>
              </w:rPr>
            </w:pPr>
            <w:r w:rsidRPr="0018227A">
              <w:rPr>
                <w:rFonts w:asciiTheme="minorHAnsi" w:hAnsiTheme="minorHAnsi" w:cstheme="minorHAnsi"/>
                <w:lang w:eastAsia="ar-SA"/>
              </w:rPr>
              <w:t xml:space="preserve">Clearance della vitamina B12 con superficie compresa tra 1,9 mq e 2,3 mq, considerando un valore di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Qb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=300 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,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Qd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=500ml/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 e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Qf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=0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  <w:lang w:eastAsia="ar-SA"/>
              </w:rPr>
            </w:pPr>
            <w:r w:rsidRPr="0018227A">
              <w:rPr>
                <w:rFonts w:asciiTheme="minorHAnsi" w:hAnsiTheme="minorHAnsi" w:cstheme="minorHAnsi"/>
                <w:b/>
                <w:lang w:eastAsia="ar-SA"/>
              </w:rPr>
              <w:t>Filtro HDF online</w:t>
            </w:r>
          </w:p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lang w:eastAsia="ar-SA"/>
              </w:rPr>
            </w:pPr>
            <w:r w:rsidRPr="0018227A">
              <w:rPr>
                <w:rFonts w:asciiTheme="minorHAnsi" w:hAnsiTheme="minorHAnsi" w:cstheme="minorHAnsi"/>
                <w:lang w:eastAsia="ar-SA"/>
              </w:rPr>
              <w:t xml:space="preserve">Clearance dei fosfati con superficie compresa tra 1,5 mq e 1,89 mq, considerando un valore di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Qb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=300 </w:t>
            </w:r>
            <w:r w:rsidRPr="0018227A">
              <w:rPr>
                <w:rFonts w:asciiTheme="minorHAnsi" w:hAnsiTheme="minorHAnsi" w:cstheme="minorHAnsi"/>
                <w:lang w:eastAsia="ar-SA"/>
              </w:rPr>
              <w:lastRenderedPageBreak/>
              <w:t>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,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Qd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=500ml/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 e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Qf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=0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  <w:lang w:eastAsia="ar-SA"/>
              </w:rPr>
            </w:pPr>
            <w:r w:rsidRPr="0018227A">
              <w:rPr>
                <w:rFonts w:asciiTheme="minorHAnsi" w:hAnsiTheme="minorHAnsi" w:cstheme="minorHAnsi"/>
                <w:b/>
                <w:lang w:eastAsia="ar-SA"/>
              </w:rPr>
              <w:t>Filtro HDF online</w:t>
            </w:r>
          </w:p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lang w:eastAsia="ar-SA"/>
              </w:rPr>
            </w:pPr>
            <w:r w:rsidRPr="0018227A">
              <w:rPr>
                <w:rFonts w:asciiTheme="minorHAnsi" w:hAnsiTheme="minorHAnsi" w:cstheme="minorHAnsi"/>
                <w:lang w:eastAsia="ar-SA"/>
              </w:rPr>
              <w:t xml:space="preserve">Clearance dei fosfati con superficie compresa tra 1,9 mq e 2,3 mq, considerando un valore di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Qb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=300 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,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Qd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=500ml/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 e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Qf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=0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  <w:lang w:eastAsia="ar-SA"/>
              </w:rPr>
            </w:pPr>
            <w:r w:rsidRPr="0018227A">
              <w:rPr>
                <w:rFonts w:asciiTheme="minorHAnsi" w:hAnsiTheme="minorHAnsi" w:cstheme="minorHAnsi"/>
                <w:b/>
                <w:lang w:eastAsia="ar-SA"/>
              </w:rPr>
              <w:t>Filtro HDF online</w:t>
            </w:r>
          </w:p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lang w:eastAsia="ar-SA"/>
              </w:rPr>
            </w:pPr>
            <w:r w:rsidRPr="0018227A">
              <w:rPr>
                <w:rFonts w:asciiTheme="minorHAnsi" w:hAnsiTheme="minorHAnsi" w:cstheme="minorHAnsi"/>
                <w:lang w:eastAsia="ar-SA"/>
              </w:rPr>
              <w:t xml:space="preserve">Clearance della vitamina B12 con superficie compresa tra 1,5 mq e 1,89 mq, considerando un valore di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Qb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=300 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,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Qd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=500ml/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 e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Qf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=0</w:t>
            </w:r>
            <w:r w:rsidRPr="0018227A">
              <w:rPr>
                <w:rFonts w:asciiTheme="minorHAnsi" w:hAnsiTheme="minorHAnsi" w:cstheme="minorHAnsi"/>
                <w:color w:val="000000"/>
                <w:lang w:val="x-none"/>
              </w:rPr>
              <w:t xml:space="preserve"> 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  <w:lang w:eastAsia="ar-SA"/>
              </w:rPr>
            </w:pPr>
            <w:r w:rsidRPr="0018227A">
              <w:rPr>
                <w:rFonts w:asciiTheme="minorHAnsi" w:hAnsiTheme="minorHAnsi" w:cstheme="minorHAnsi"/>
                <w:b/>
                <w:lang w:eastAsia="ar-SA"/>
              </w:rPr>
              <w:t>Filtro HDF online</w:t>
            </w:r>
          </w:p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lang w:eastAsia="ar-SA"/>
              </w:rPr>
            </w:pPr>
            <w:r w:rsidRPr="0018227A">
              <w:rPr>
                <w:rFonts w:asciiTheme="minorHAnsi" w:hAnsiTheme="minorHAnsi" w:cstheme="minorHAnsi"/>
                <w:lang w:eastAsia="ar-SA"/>
              </w:rPr>
              <w:t xml:space="preserve">Clearance della vitamina B12 con superficie compresa tra 1,9 mq e 2,3 mq, considerando un valore di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Qb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=300 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,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Qd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=500ml/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 e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Qf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=0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b/>
                <w:lang w:eastAsia="ar-SA"/>
              </w:rPr>
            </w:pPr>
            <w:r w:rsidRPr="0018227A">
              <w:rPr>
                <w:rFonts w:asciiTheme="minorHAnsi" w:hAnsiTheme="minorHAnsi" w:cstheme="minorHAnsi"/>
                <w:b/>
                <w:lang w:eastAsia="ar-SA"/>
              </w:rPr>
              <w:t>Filtro HDF online</w:t>
            </w:r>
          </w:p>
          <w:p w:rsidR="00EA3E45" w:rsidRPr="0018227A" w:rsidRDefault="00EA3E45" w:rsidP="002E14D2">
            <w:pPr>
              <w:widowControl w:val="0"/>
              <w:rPr>
                <w:rFonts w:asciiTheme="minorHAnsi" w:hAnsiTheme="minorHAnsi" w:cstheme="minorHAnsi"/>
                <w:lang w:eastAsia="ar-SA"/>
              </w:rPr>
            </w:pPr>
            <w:r w:rsidRPr="0018227A">
              <w:rPr>
                <w:rFonts w:asciiTheme="minorHAnsi" w:hAnsiTheme="minorHAnsi" w:cstheme="minorHAnsi"/>
                <w:lang w:eastAsia="ar-SA"/>
              </w:rPr>
              <w:t xml:space="preserve">Coefficiente di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Sieving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 della ß2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microglobulina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, considerando un valore di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Qb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=300 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,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Qd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=500ml/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 xml:space="preserve"> e 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Qf</w:t>
            </w:r>
            <w:proofErr w:type="spellEnd"/>
            <w:r w:rsidRPr="0018227A">
              <w:rPr>
                <w:rFonts w:asciiTheme="minorHAnsi" w:hAnsiTheme="minorHAnsi" w:cstheme="minorHAnsi"/>
                <w:lang w:eastAsia="ar-SA"/>
              </w:rPr>
              <w:t>=60ml/</w:t>
            </w:r>
            <w:proofErr w:type="spellStart"/>
            <w:r w:rsidRPr="0018227A">
              <w:rPr>
                <w:rFonts w:asciiTheme="minorHAnsi" w:hAnsiTheme="minorHAnsi" w:cstheme="minorHAnsi"/>
                <w:lang w:eastAsia="ar-SA"/>
              </w:rPr>
              <w:t>min</w:t>
            </w:r>
            <w:proofErr w:type="spellEnd"/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E45" w:rsidRPr="000C5510" w:rsidRDefault="00EA3E45" w:rsidP="002E14D2">
            <w:pPr>
              <w:pStyle w:val="Paragrafoelenco"/>
              <w:spacing w:after="120" w:line="276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551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VIDEO DEMO</w:t>
            </w: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E45" w:rsidRPr="00360AA9" w:rsidRDefault="00EA3E45" w:rsidP="002E14D2">
            <w:pPr>
              <w:rPr>
                <w:rFonts w:ascii="Calibri" w:hAnsi="Calibri" w:cs="Calibri"/>
              </w:rPr>
            </w:pPr>
            <w:r w:rsidRPr="00360AA9">
              <w:rPr>
                <w:rFonts w:ascii="Calibri" w:hAnsi="Calibri" w:cs="Calibri"/>
              </w:rPr>
              <w:t>Facilità di preparazione della macchina: assemblaggio delle varie componenti del sistema, in particolare del circuito extracorporeo, e tempo richiesto all’operatore per la preparazione del monitor sia in HD che in HDF (tempo necessario a rendere la macchina pronta all’utilizzo)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E45" w:rsidRPr="00360AA9" w:rsidRDefault="00EA3E45" w:rsidP="002E14D2">
            <w:pPr>
              <w:rPr>
                <w:rFonts w:ascii="Calibri" w:hAnsi="Calibri" w:cs="Calibri"/>
              </w:rPr>
            </w:pPr>
            <w:r w:rsidRPr="00360AA9">
              <w:rPr>
                <w:rFonts w:ascii="Calibri" w:hAnsi="Calibri" w:cs="Calibri"/>
              </w:rPr>
              <w:t>Volumi di ingombro, peso e facilità di movimentazione dell’apparecchiatura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A3E45" w:rsidRDefault="00EA3E45" w:rsidP="00EA3E45">
      <w:pPr>
        <w:pStyle w:val="Paragrafoelenco"/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EA3E45" w:rsidRDefault="00EA3E45" w:rsidP="00EA3E45">
      <w:pPr>
        <w:pStyle w:val="Paragrafoelenco"/>
        <w:spacing w:after="120" w:line="276" w:lineRule="auto"/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5510">
        <w:rPr>
          <w:rFonts w:asciiTheme="minorHAnsi" w:hAnsiTheme="minorHAnsi" w:cs="Arial"/>
          <w:b/>
          <w:bCs/>
          <w:sz w:val="20"/>
          <w:szCs w:val="20"/>
        </w:rPr>
        <w:t>Trattamenti di dialisi peritoneale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automatizzata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993"/>
        <w:gridCol w:w="4394"/>
      </w:tblGrid>
      <w:tr w:rsidR="00EA3E45" w:rsidTr="00EA3E45">
        <w:tc>
          <w:tcPr>
            <w:tcW w:w="4536" w:type="dxa"/>
            <w:shd w:val="clear" w:color="auto" w:fill="BFBFBF" w:themeFill="background1" w:themeFillShade="BF"/>
          </w:tcPr>
          <w:p w:rsidR="00EA3E45" w:rsidRPr="00851013" w:rsidRDefault="00EA3E45" w:rsidP="002E14D2">
            <w:pPr>
              <w:rPr>
                <w:rFonts w:ascii="Calibri" w:hAnsi="Calibri" w:cs="Calibri"/>
                <w:b/>
              </w:rPr>
            </w:pPr>
            <w:r w:rsidRPr="00851013">
              <w:rPr>
                <w:rFonts w:ascii="Calibri" w:hAnsi="Calibri" w:cs="Calibri"/>
                <w:b/>
              </w:rPr>
              <w:t>Caratteristiche tecniche migliorative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A3E45" w:rsidRPr="00851013" w:rsidRDefault="00EA3E45" w:rsidP="002E1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Idonea (SI/NO)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EA3E45" w:rsidRPr="00851013" w:rsidRDefault="00EA3E45" w:rsidP="002E1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Motivazione</w:t>
            </w:r>
          </w:p>
        </w:tc>
      </w:tr>
      <w:tr w:rsidR="00EA3E45" w:rsidTr="00EA3E45">
        <w:tc>
          <w:tcPr>
            <w:tcW w:w="9923" w:type="dxa"/>
            <w:gridSpan w:val="3"/>
            <w:shd w:val="clear" w:color="auto" w:fill="BFBFBF" w:themeFill="background1" w:themeFillShade="BF"/>
          </w:tcPr>
          <w:p w:rsidR="00EA3E45" w:rsidRPr="006916EF" w:rsidRDefault="00EA3E45" w:rsidP="002E14D2">
            <w:pPr>
              <w:pStyle w:val="Paragrafoelenco"/>
              <w:spacing w:after="120" w:line="276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Apparecchiatura</w:t>
            </w: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CD6368">
              <w:rPr>
                <w:rFonts w:asciiTheme="minorHAnsi" w:hAnsiTheme="minorHAnsi" w:cstheme="minorHAnsi"/>
                <w:b/>
                <w:color w:val="000000"/>
              </w:rPr>
              <w:t>Massima leggerezza, compattezza, dimensioni e peso ridotti, di facile trasportabilità anche con autovettura</w:t>
            </w:r>
          </w:p>
          <w:p w:rsidR="00EA3E45" w:rsidRPr="00CD6368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6368">
              <w:rPr>
                <w:rFonts w:asciiTheme="minorHAnsi" w:eastAsia="NSimSun" w:hAnsiTheme="minorHAnsi" w:cstheme="minorHAnsi"/>
                <w:kern w:val="2"/>
                <w:sz w:val="20"/>
                <w:szCs w:val="20"/>
                <w:lang w:eastAsia="zh-CN" w:bidi="hi-IN"/>
              </w:rPr>
              <w:t xml:space="preserve">Descrizione delle dimensioni del </w:t>
            </w:r>
            <w:proofErr w:type="spellStart"/>
            <w:r w:rsidRPr="00CD6368">
              <w:rPr>
                <w:rFonts w:asciiTheme="minorHAnsi" w:eastAsia="NSimSun" w:hAnsiTheme="minorHAnsi" w:cstheme="minorHAnsi"/>
                <w:i/>
                <w:kern w:val="2"/>
                <w:sz w:val="20"/>
                <w:szCs w:val="20"/>
                <w:lang w:eastAsia="zh-CN" w:bidi="hi-IN"/>
              </w:rPr>
              <w:t>cycler</w:t>
            </w:r>
            <w:proofErr w:type="spellEnd"/>
            <w:r w:rsidRPr="00CD6368">
              <w:rPr>
                <w:rFonts w:asciiTheme="minorHAnsi" w:eastAsia="NSimSun" w:hAnsiTheme="minorHAnsi" w:cstheme="minorHAnsi"/>
                <w:kern w:val="2"/>
                <w:sz w:val="20"/>
                <w:szCs w:val="20"/>
                <w:lang w:eastAsia="zh-CN" w:bidi="hi-IN"/>
              </w:rPr>
              <w:t xml:space="preserve"> specificando altezza, larghezza e profondità in cm, il peso in Kg, la conformazione per la trasportabilità con presenza o meno di ruote e maniglia per movimentazione.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CD6368">
              <w:rPr>
                <w:rFonts w:asciiTheme="minorHAnsi" w:hAnsiTheme="minorHAnsi" w:cstheme="minorHAnsi"/>
                <w:b/>
                <w:color w:val="000000"/>
              </w:rPr>
              <w:t>Profilo di sicurezza nella connessione paziente per il numero di aperture del sistema</w:t>
            </w:r>
          </w:p>
          <w:p w:rsidR="00EA3E45" w:rsidRPr="00CD6368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6368">
              <w:rPr>
                <w:rFonts w:asciiTheme="minorHAnsi" w:eastAsia="NSimSun" w:hAnsiTheme="minorHAnsi" w:cstheme="minorHAnsi"/>
                <w:kern w:val="2"/>
                <w:sz w:val="20"/>
                <w:szCs w:val="20"/>
                <w:lang w:eastAsia="zh-CN" w:bidi="hi-IN"/>
              </w:rPr>
              <w:t xml:space="preserve">Descrizione della facilità d’uso del sistema di connessione delle sacche al set del </w:t>
            </w:r>
            <w:proofErr w:type="spellStart"/>
            <w:r w:rsidRPr="00CD6368">
              <w:rPr>
                <w:rFonts w:asciiTheme="minorHAnsi" w:eastAsia="NSimSun" w:hAnsiTheme="minorHAnsi" w:cstheme="minorHAnsi"/>
                <w:i/>
                <w:kern w:val="2"/>
                <w:sz w:val="20"/>
                <w:szCs w:val="20"/>
                <w:lang w:eastAsia="zh-CN" w:bidi="hi-IN"/>
              </w:rPr>
              <w:t>cycler</w:t>
            </w:r>
            <w:proofErr w:type="spellEnd"/>
            <w:r w:rsidRPr="00CD6368">
              <w:rPr>
                <w:rFonts w:asciiTheme="minorHAnsi" w:eastAsia="NSimSun" w:hAnsiTheme="minorHAnsi" w:cstheme="minorHAnsi"/>
                <w:kern w:val="2"/>
                <w:sz w:val="20"/>
                <w:szCs w:val="20"/>
                <w:lang w:eastAsia="zh-CN" w:bidi="hi-IN"/>
              </w:rPr>
              <w:t xml:space="preserve"> con particolare riguardo alle manovre da eseguire al fine di garantire la sicurezza e l’efficacia del sistema di connessione.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CD6368">
              <w:rPr>
                <w:rFonts w:asciiTheme="minorHAnsi" w:hAnsiTheme="minorHAnsi" w:cstheme="minorHAnsi"/>
                <w:b/>
                <w:color w:val="000000"/>
              </w:rPr>
              <w:t>Caratteristiche del software gestionale con particolare riferimento alla possibilità di gestione automatizzata del volume di scarico e di personalizzazione del trattamento</w:t>
            </w:r>
          </w:p>
          <w:p w:rsidR="00EA3E45" w:rsidRPr="00CD6368" w:rsidRDefault="00EA3E45" w:rsidP="002E14D2">
            <w:pPr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Descrizione del programma che governa la prescrizione dialitica in modo che, impostato volume </w:t>
            </w:r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lastRenderedPageBreak/>
              <w:t xml:space="preserve">totale della soluzione, il tempo totale il volume di carico, l’UF e l’eventuale % di </w:t>
            </w:r>
            <w:proofErr w:type="spellStart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Tidal</w:t>
            </w:r>
            <w:proofErr w:type="spellEnd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, il </w:t>
            </w:r>
            <w:proofErr w:type="spellStart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cycler</w:t>
            </w:r>
            <w:proofErr w:type="spellEnd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gestisca i volumi di scarico e che i programmi possano essere personalizzati anche con eventuale azione da remoto.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hAnsiTheme="minorHAnsi" w:cstheme="minorHAnsi"/>
              </w:rPr>
              <w:t xml:space="preserve">Gestione e/o monitoraggio del trattamento domiciliare da remoto (possibilità di controllare da remoto il </w:t>
            </w:r>
            <w:proofErr w:type="spellStart"/>
            <w:r w:rsidRPr="00CD6368">
              <w:rPr>
                <w:rFonts w:asciiTheme="minorHAnsi" w:hAnsiTheme="minorHAnsi" w:cstheme="minorHAnsi"/>
                <w:i/>
              </w:rPr>
              <w:t>cycler</w:t>
            </w:r>
            <w:proofErr w:type="spellEnd"/>
            <w:r w:rsidRPr="00CD6368">
              <w:rPr>
                <w:rFonts w:asciiTheme="minorHAnsi" w:hAnsiTheme="minorHAnsi" w:cstheme="minorHAnsi"/>
              </w:rPr>
              <w:t xml:space="preserve"> e modificare il trattamento)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8670FE" w:rsidRDefault="00EA3E45" w:rsidP="002E14D2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CD6368">
              <w:rPr>
                <w:rFonts w:asciiTheme="minorHAnsi" w:hAnsiTheme="minorHAnsi" w:cstheme="minorHAnsi"/>
                <w:color w:val="000000"/>
              </w:rPr>
              <w:t>Riconoscimento automatico delle sacche di soluzione dializzante per ridurre la possibilità di errore da parte del paziente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8670FE" w:rsidRDefault="00EA3E45" w:rsidP="002E14D2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CD6368">
              <w:rPr>
                <w:rFonts w:asciiTheme="minorHAnsi" w:hAnsiTheme="minorHAnsi" w:cstheme="minorHAnsi"/>
                <w:color w:val="000000"/>
              </w:rPr>
              <w:t>Capacità, in caso di interruzione dell’alimentazione, di mantenere il più a lungo possibile in memoria lo stato di avanzamento del trattamento e di poterlo riprendere dal punto in cui si era interrotto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CD6368">
              <w:rPr>
                <w:rFonts w:asciiTheme="minorHAnsi" w:hAnsiTheme="minorHAnsi" w:cstheme="minorHAnsi"/>
                <w:b/>
                <w:color w:val="000000"/>
              </w:rPr>
              <w:t xml:space="preserve">Dialisi pediatrica: valutazione peso minimo ed età dei pazienti, disponibilità di programmi per la gestione di volumi </w:t>
            </w:r>
            <w:proofErr w:type="spellStart"/>
            <w:r w:rsidRPr="00CD6368">
              <w:rPr>
                <w:rFonts w:asciiTheme="minorHAnsi" w:hAnsiTheme="minorHAnsi" w:cstheme="minorHAnsi"/>
                <w:b/>
                <w:color w:val="000000"/>
              </w:rPr>
              <w:t>infusionali</w:t>
            </w:r>
            <w:proofErr w:type="spellEnd"/>
            <w:r w:rsidRPr="00CD6368">
              <w:rPr>
                <w:rFonts w:asciiTheme="minorHAnsi" w:hAnsiTheme="minorHAnsi" w:cstheme="minorHAnsi"/>
                <w:b/>
                <w:color w:val="000000"/>
              </w:rPr>
              <w:t xml:space="preserve"> ridotti</w:t>
            </w:r>
          </w:p>
          <w:p w:rsidR="00EA3E45" w:rsidRPr="00CD6368" w:rsidRDefault="00EA3E45" w:rsidP="002E14D2">
            <w:pPr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Descrizione, per il </w:t>
            </w:r>
            <w:proofErr w:type="spellStart"/>
            <w:r w:rsidRPr="00CD6368">
              <w:rPr>
                <w:rFonts w:asciiTheme="minorHAnsi" w:eastAsia="NSimSun" w:hAnsiTheme="minorHAnsi" w:cstheme="minorHAnsi"/>
                <w:i/>
                <w:kern w:val="2"/>
                <w:lang w:eastAsia="zh-CN" w:bidi="hi-IN"/>
              </w:rPr>
              <w:t>cycler</w:t>
            </w:r>
            <w:proofErr w:type="spellEnd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proposto, del peso minimo e dell’età minima del paziente da trattare, il volume minimo </w:t>
            </w:r>
            <w:proofErr w:type="spellStart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infusionale</w:t>
            </w:r>
            <w:proofErr w:type="spellEnd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e la disponibilità di programmi capaci di gestire volumi </w:t>
            </w:r>
            <w:proofErr w:type="spellStart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infusionali</w:t>
            </w:r>
            <w:proofErr w:type="spellEnd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ridotti ed adeguati ai pazienti in età pediatrica.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CD6368">
              <w:rPr>
                <w:rFonts w:asciiTheme="minorHAnsi" w:hAnsiTheme="minorHAnsi" w:cstheme="minorHAnsi"/>
                <w:b/>
                <w:color w:val="000000"/>
              </w:rPr>
              <w:t>Disponibilità di software e/o hardware per la gestione e la elaborazione dei dati relativi alla efficienza dialitica</w:t>
            </w:r>
          </w:p>
          <w:p w:rsidR="00EA3E45" w:rsidRPr="00CD6368" w:rsidRDefault="00EA3E45" w:rsidP="002E14D2">
            <w:pPr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Descrizione del modello cinetico di riferimento, con indicazione dei tempi e delle modalità di esecuzione, dei parametri ematochimici e del </w:t>
            </w:r>
            <w:proofErr w:type="spellStart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dialisato</w:t>
            </w:r>
            <w:proofErr w:type="spellEnd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richiesti dal software.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6368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SOLUZIONI</w:t>
            </w: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CD6368">
              <w:rPr>
                <w:rFonts w:asciiTheme="minorHAnsi" w:hAnsiTheme="minorHAnsi" w:cstheme="minorHAnsi"/>
                <w:b/>
                <w:color w:val="000000"/>
              </w:rPr>
              <w:t>Tipologia di soluzioni e tamponi disponibili</w:t>
            </w:r>
          </w:p>
          <w:p w:rsidR="00EA3E45" w:rsidRPr="00CD6368" w:rsidRDefault="00EA3E45" w:rsidP="002E14D2">
            <w:pPr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Descrizione dell’offerta delle soluzioni per APD relative alle concentrazioni di elettroliti e di glucosio ed alla concentrazione e tipo di tampone.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8670FE" w:rsidRDefault="00EA3E45" w:rsidP="002E14D2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CD6368">
              <w:rPr>
                <w:rFonts w:asciiTheme="minorHAnsi" w:hAnsiTheme="minorHAnsi" w:cstheme="minorHAnsi"/>
                <w:color w:val="000000"/>
              </w:rPr>
              <w:t xml:space="preserve">Lattato 35-40 </w:t>
            </w:r>
            <w:proofErr w:type="spellStart"/>
            <w:r w:rsidRPr="00CD6368">
              <w:rPr>
                <w:rFonts w:asciiTheme="minorHAnsi" w:hAnsiTheme="minorHAnsi" w:cstheme="minorHAnsi"/>
                <w:color w:val="000000"/>
              </w:rPr>
              <w:t>mEq</w:t>
            </w:r>
            <w:proofErr w:type="spellEnd"/>
            <w:r w:rsidRPr="00CD6368">
              <w:rPr>
                <w:rFonts w:asciiTheme="minorHAnsi" w:hAnsiTheme="minorHAnsi" w:cstheme="minorHAnsi"/>
                <w:color w:val="000000"/>
              </w:rPr>
              <w:t xml:space="preserve">/L in sacca non </w:t>
            </w:r>
            <w:proofErr w:type="spellStart"/>
            <w:r w:rsidRPr="00CD6368">
              <w:rPr>
                <w:rFonts w:asciiTheme="minorHAnsi" w:hAnsiTheme="minorHAnsi" w:cstheme="minorHAnsi"/>
                <w:color w:val="000000"/>
              </w:rPr>
              <w:t>compartimentata</w:t>
            </w:r>
            <w:proofErr w:type="spellEnd"/>
            <w:r w:rsidRPr="00CD6368">
              <w:rPr>
                <w:rFonts w:asciiTheme="minorHAnsi" w:hAnsiTheme="minorHAnsi" w:cstheme="minorHAnsi"/>
                <w:color w:val="000000"/>
              </w:rPr>
              <w:t xml:space="preserve"> solo per esecuzione PET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CD6368">
              <w:rPr>
                <w:rFonts w:asciiTheme="minorHAnsi" w:hAnsiTheme="minorHAnsi" w:cstheme="minorHAnsi"/>
                <w:b/>
                <w:color w:val="000000"/>
              </w:rPr>
              <w:t>Soluzioni con basso contenuto di Prodotti di Degradazione del Glucosio (GPD)</w:t>
            </w:r>
          </w:p>
          <w:p w:rsidR="00EA3E45" w:rsidRPr="00CD6368" w:rsidRDefault="00EA3E45" w:rsidP="002E14D2">
            <w:pPr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Descrizione della mono o </w:t>
            </w:r>
            <w:proofErr w:type="spellStart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pluricompartimentalità</w:t>
            </w:r>
            <w:proofErr w:type="spellEnd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delle sacche di soluzione e dei livelli dei Prodotti di degradazione del Glucosio in esse contenuti.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8670FE" w:rsidRDefault="00EA3E45" w:rsidP="002E14D2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CD6368">
              <w:rPr>
                <w:rFonts w:asciiTheme="minorHAnsi" w:hAnsiTheme="minorHAnsi" w:cstheme="minorHAnsi"/>
                <w:color w:val="000000"/>
              </w:rPr>
              <w:t>Disponibilità di sacche con altro agente osmotico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E45" w:rsidRPr="000C5510" w:rsidRDefault="00EA3E45" w:rsidP="002E14D2">
            <w:pPr>
              <w:pStyle w:val="Paragrafoelenco"/>
              <w:spacing w:after="120" w:line="276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Servizi</w:t>
            </w: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8670FE" w:rsidRDefault="00EA3E45" w:rsidP="002E14D2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CD6368">
              <w:rPr>
                <w:rFonts w:asciiTheme="minorHAnsi" w:hAnsiTheme="minorHAnsi" w:cstheme="minorHAnsi"/>
                <w:color w:val="000000"/>
              </w:rPr>
              <w:t>Frequenza delle consegne</w:t>
            </w:r>
            <w:r>
              <w:rPr>
                <w:rFonts w:asciiTheme="minorHAnsi" w:hAnsiTheme="minorHAnsi" w:cstheme="minorHAnsi"/>
                <w:color w:val="000000"/>
              </w:rPr>
              <w:t xml:space="preserve"> (settimanale, bisettimanale, mensile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ecc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hAnsiTheme="minorHAnsi" w:cstheme="minorHAnsi"/>
              </w:rPr>
              <w:t>Ritiro delle sacche dal domicilio del paziente e consegna all'Ospedale quando il paziente termina la DP (in caso di trapianto, cambio metodica, decesso)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hAnsiTheme="minorHAnsi" w:cstheme="minorHAnsi"/>
              </w:rPr>
              <w:t>Addestramento al personale della RSA (Residenza Sanitaria Assistenziale) o di altra residenza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lastRenderedPageBreak/>
              <w:t>Video Demo</w:t>
            </w: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hAnsiTheme="minorHAnsi" w:cstheme="minorHAnsi"/>
                <w:color w:val="000000"/>
              </w:rPr>
              <w:t>Praticità d’uso e facilità di apprendimento del funzionamento dell’apparecchio da parte dei pazienti con sistema orientato alla riduzione del numero di allarmi ed al miglioramento del profilo del drenaggio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hAnsiTheme="minorHAnsi" w:cstheme="minorHAnsi"/>
                <w:color w:val="000000"/>
              </w:rPr>
              <w:t xml:space="preserve">Caratteristiche del sistema di connessione delle sacche al set del </w:t>
            </w:r>
            <w:proofErr w:type="spellStart"/>
            <w:r w:rsidRPr="00CD6368">
              <w:rPr>
                <w:rFonts w:asciiTheme="minorHAnsi" w:hAnsiTheme="minorHAnsi" w:cstheme="minorHAnsi"/>
                <w:i/>
                <w:color w:val="000000"/>
              </w:rPr>
              <w:t>cycler</w:t>
            </w:r>
            <w:proofErr w:type="spellEnd"/>
            <w:r w:rsidRPr="00CD6368">
              <w:rPr>
                <w:rFonts w:asciiTheme="minorHAnsi" w:hAnsiTheme="minorHAnsi" w:cstheme="minorHAnsi"/>
                <w:color w:val="000000"/>
              </w:rPr>
              <w:t xml:space="preserve"> con particolare riferimento alla praticità d’uso, alla facilità di apprendimento della metodica da parte dei pazienti e massimamente orientato a minimizzare il rischio di contaminazione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A3E45" w:rsidRPr="000C5510" w:rsidRDefault="00EA3E45" w:rsidP="00EA3E45">
      <w:pPr>
        <w:pStyle w:val="Paragrafoelenco"/>
        <w:spacing w:after="120" w:line="276" w:lineRule="auto"/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A3E45" w:rsidRDefault="00EA3E45" w:rsidP="00EA3E45">
      <w:pPr>
        <w:pStyle w:val="Paragrafoelenco"/>
        <w:spacing w:after="120" w:line="276" w:lineRule="auto"/>
        <w:ind w:left="36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CD6368">
        <w:rPr>
          <w:rFonts w:asciiTheme="minorHAnsi" w:hAnsiTheme="minorHAnsi" w:cs="Arial"/>
          <w:b/>
          <w:bCs/>
          <w:sz w:val="20"/>
          <w:szCs w:val="20"/>
        </w:rPr>
        <w:t>Trattamenti di dialisi peritoneale manuale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4536"/>
        <w:gridCol w:w="993"/>
        <w:gridCol w:w="4394"/>
      </w:tblGrid>
      <w:tr w:rsidR="00EA3E45" w:rsidTr="00EA3E45">
        <w:tc>
          <w:tcPr>
            <w:tcW w:w="4536" w:type="dxa"/>
            <w:shd w:val="clear" w:color="auto" w:fill="BFBFBF" w:themeFill="background1" w:themeFillShade="BF"/>
          </w:tcPr>
          <w:p w:rsidR="00EA3E45" w:rsidRPr="00851013" w:rsidRDefault="00EA3E45" w:rsidP="002E14D2">
            <w:pPr>
              <w:rPr>
                <w:rFonts w:ascii="Calibri" w:hAnsi="Calibri" w:cs="Calibri"/>
                <w:b/>
              </w:rPr>
            </w:pPr>
            <w:r w:rsidRPr="00851013">
              <w:rPr>
                <w:rFonts w:ascii="Calibri" w:hAnsi="Calibri" w:cs="Calibri"/>
                <w:b/>
              </w:rPr>
              <w:t>Caratteristiche tecniche migliorative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A3E45" w:rsidRPr="00851013" w:rsidRDefault="00EA3E45" w:rsidP="002E1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Idonea (SI/NO)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EA3E45" w:rsidRPr="00851013" w:rsidRDefault="00EA3E45" w:rsidP="002E14D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Motivazione</w:t>
            </w:r>
          </w:p>
        </w:tc>
      </w:tr>
      <w:tr w:rsidR="00EA3E45" w:rsidTr="00EA3E45">
        <w:tc>
          <w:tcPr>
            <w:tcW w:w="9923" w:type="dxa"/>
            <w:gridSpan w:val="3"/>
            <w:shd w:val="clear" w:color="auto" w:fill="BFBFBF" w:themeFill="background1" w:themeFillShade="BF"/>
          </w:tcPr>
          <w:p w:rsidR="00EA3E45" w:rsidRPr="006916EF" w:rsidRDefault="00EA3E45" w:rsidP="002E14D2">
            <w:pPr>
              <w:pStyle w:val="Paragrafoelenco"/>
              <w:spacing w:after="120" w:line="276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soluzioni</w:t>
            </w: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CD6368">
              <w:rPr>
                <w:rFonts w:asciiTheme="minorHAnsi" w:hAnsiTheme="minorHAnsi" w:cstheme="minorHAnsi"/>
                <w:b/>
                <w:color w:val="000000"/>
              </w:rPr>
              <w:t>Tipologia di soluzioni e tamponi disponibili</w:t>
            </w:r>
          </w:p>
          <w:p w:rsidR="00EA3E45" w:rsidRPr="00CD6368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6368">
              <w:rPr>
                <w:rFonts w:asciiTheme="minorHAnsi" w:eastAsia="NSimSun" w:hAnsiTheme="minorHAnsi" w:cstheme="minorHAnsi"/>
                <w:kern w:val="2"/>
                <w:sz w:val="20"/>
                <w:szCs w:val="20"/>
                <w:lang w:eastAsia="zh-CN" w:bidi="hi-IN"/>
              </w:rPr>
              <w:t>Descrizione dell’offerta delle soluzioni per CAPD relative alle concentrazioni di elettroliti e di glucosio ed alla concentrazione e tipo di tampone.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8670FE" w:rsidRDefault="00EA3E45" w:rsidP="002E14D2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CD6368">
              <w:rPr>
                <w:rFonts w:asciiTheme="minorHAnsi" w:hAnsiTheme="minorHAnsi" w:cstheme="minorHAnsi"/>
                <w:color w:val="000000"/>
              </w:rPr>
              <w:t xml:space="preserve">Lattato 35-40 </w:t>
            </w:r>
            <w:proofErr w:type="spellStart"/>
            <w:r w:rsidRPr="00CD6368">
              <w:rPr>
                <w:rFonts w:asciiTheme="minorHAnsi" w:hAnsiTheme="minorHAnsi" w:cstheme="minorHAnsi"/>
                <w:color w:val="000000"/>
              </w:rPr>
              <w:t>mEq</w:t>
            </w:r>
            <w:proofErr w:type="spellEnd"/>
            <w:r w:rsidRPr="00CD6368">
              <w:rPr>
                <w:rFonts w:asciiTheme="minorHAnsi" w:hAnsiTheme="minorHAnsi" w:cstheme="minorHAnsi"/>
                <w:color w:val="000000"/>
              </w:rPr>
              <w:t xml:space="preserve">/L in sacca non </w:t>
            </w:r>
            <w:proofErr w:type="spellStart"/>
            <w:r w:rsidRPr="00CD6368">
              <w:rPr>
                <w:rFonts w:asciiTheme="minorHAnsi" w:hAnsiTheme="minorHAnsi" w:cstheme="minorHAnsi"/>
                <w:color w:val="000000"/>
              </w:rPr>
              <w:t>compartimentata</w:t>
            </w:r>
            <w:proofErr w:type="spellEnd"/>
            <w:r w:rsidRPr="00CD6368">
              <w:rPr>
                <w:rFonts w:asciiTheme="minorHAnsi" w:hAnsiTheme="minorHAnsi" w:cstheme="minorHAnsi"/>
                <w:color w:val="000000"/>
              </w:rPr>
              <w:t xml:space="preserve"> solo per esecuzione PET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  <w:b/>
                <w:color w:val="000000"/>
              </w:rPr>
            </w:pPr>
            <w:r w:rsidRPr="00CD6368">
              <w:rPr>
                <w:rFonts w:asciiTheme="minorHAnsi" w:hAnsiTheme="minorHAnsi" w:cstheme="minorHAnsi"/>
                <w:b/>
                <w:color w:val="000000"/>
              </w:rPr>
              <w:t>Soluzioni con basso contenuto di Prodotti di Degradazione del Glucosio (GPD)</w:t>
            </w:r>
          </w:p>
          <w:p w:rsidR="00EA3E45" w:rsidRPr="00CD6368" w:rsidRDefault="00EA3E45" w:rsidP="002E14D2">
            <w:pPr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Descrizione della mono o </w:t>
            </w:r>
            <w:proofErr w:type="spellStart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>pluricomparimentalità</w:t>
            </w:r>
            <w:proofErr w:type="spellEnd"/>
            <w:r w:rsidRPr="00CD6368">
              <w:rPr>
                <w:rFonts w:asciiTheme="minorHAnsi" w:eastAsia="NSimSun" w:hAnsiTheme="minorHAnsi" w:cstheme="minorHAnsi"/>
                <w:kern w:val="2"/>
                <w:lang w:eastAsia="zh-CN" w:bidi="hi-IN"/>
              </w:rPr>
              <w:t xml:space="preserve"> delle sacche di soluzione e dei livelli dei Prodotti di degradazione del Glucosio in esse contenuti.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8670FE" w:rsidRDefault="00EA3E45" w:rsidP="002E14D2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CD6368">
              <w:rPr>
                <w:rFonts w:asciiTheme="minorHAnsi" w:hAnsiTheme="minorHAnsi" w:cstheme="minorHAnsi"/>
                <w:color w:val="000000"/>
              </w:rPr>
              <w:t>Disponibilità di sacche con altro agente osmotico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D6368">
              <w:rPr>
                <w:rFonts w:asciiTheme="minorHAnsi" w:hAnsiTheme="minorHAnsi" w:cstheme="minorHAnsi"/>
                <w:b/>
                <w:bCs/>
                <w:smallCaps/>
                <w:color w:val="000000"/>
              </w:rPr>
              <w:t>SERVIZI</w:t>
            </w: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8670FE" w:rsidRDefault="00EA3E45" w:rsidP="002E14D2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CD6368">
              <w:rPr>
                <w:rFonts w:asciiTheme="minorHAnsi" w:hAnsiTheme="minorHAnsi" w:cstheme="minorHAnsi"/>
                <w:color w:val="000000"/>
              </w:rPr>
              <w:t>Frequenza delle consegne</w:t>
            </w:r>
            <w:r>
              <w:rPr>
                <w:rFonts w:asciiTheme="minorHAnsi" w:hAnsiTheme="minorHAnsi" w:cstheme="minorHAnsi"/>
                <w:color w:val="000000"/>
              </w:rPr>
              <w:t xml:space="preserve"> (settimanale, bisettimanale, mensile)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hAnsiTheme="minorHAnsi" w:cstheme="minorHAnsi"/>
              </w:rPr>
              <w:t>Ritiro delle sacche dal domicilio del paziente e consegna all'Ospedale quando il paziente termina la DP (in caso di trapianto, cambio metodica, decesso)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widowControl w:val="0"/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hAnsiTheme="minorHAnsi" w:cstheme="minorHAnsi"/>
              </w:rPr>
              <w:t>Addestramento al personale della RSA (Residenza Sanitaria Assistenziale) o di altra residenza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A3E45" w:rsidTr="00EA3E4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E45" w:rsidRPr="000C5510" w:rsidRDefault="00EA3E45" w:rsidP="002E14D2">
            <w:pPr>
              <w:pStyle w:val="Paragrafoelenco"/>
              <w:spacing w:after="120" w:line="276" w:lineRule="auto"/>
              <w:ind w:left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Video Demo</w:t>
            </w:r>
          </w:p>
        </w:tc>
      </w:tr>
      <w:tr w:rsidR="00EA3E45" w:rsidTr="00EA3E4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E45" w:rsidRPr="00CD6368" w:rsidRDefault="00EA3E45" w:rsidP="002E14D2">
            <w:pPr>
              <w:rPr>
                <w:rFonts w:asciiTheme="minorHAnsi" w:hAnsiTheme="minorHAnsi" w:cstheme="minorHAnsi"/>
              </w:rPr>
            </w:pPr>
            <w:r w:rsidRPr="00CD6368">
              <w:rPr>
                <w:rFonts w:asciiTheme="minorHAnsi" w:hAnsiTheme="minorHAnsi" w:cstheme="minorHAnsi"/>
                <w:color w:val="000000"/>
              </w:rPr>
              <w:t>Caratteristiche del sistema di connessione con particolare riferimento alla praticità d’uso, alla facilità di apprendimento della metodica da parte dei pazienti e massimamente orientato a minimizzare il rischio di contaminazione</w:t>
            </w:r>
          </w:p>
        </w:tc>
        <w:tc>
          <w:tcPr>
            <w:tcW w:w="993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E45" w:rsidRDefault="00EA3E45" w:rsidP="002E14D2">
            <w:pPr>
              <w:pStyle w:val="Paragrafoelenco"/>
              <w:spacing w:after="120" w:line="276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A3E45" w:rsidRDefault="00EA3E45">
      <w:pPr>
        <w:rPr>
          <w:rFonts w:cstheme="minorHAnsi"/>
          <w:b/>
          <w:i/>
          <w:sz w:val="28"/>
          <w:szCs w:val="20"/>
          <w:u w:val="single"/>
        </w:rPr>
      </w:pPr>
    </w:p>
    <w:sectPr w:rsidR="00EA3E4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2D" w:rsidRDefault="0077152D" w:rsidP="003C1958">
      <w:pPr>
        <w:spacing w:after="0" w:line="240" w:lineRule="auto"/>
      </w:pPr>
      <w:r>
        <w:separator/>
      </w:r>
    </w:p>
  </w:endnote>
  <w:endnote w:type="continuationSeparator" w:id="0">
    <w:p w:rsidR="0077152D" w:rsidRDefault="0077152D" w:rsidP="003C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58" w:rsidRPr="00D1323A" w:rsidRDefault="003C1958" w:rsidP="003C1958">
    <w:pPr>
      <w:pStyle w:val="Pidipagina"/>
      <w:pBdr>
        <w:top w:val="single" w:sz="4" w:space="1" w:color="auto"/>
      </w:pBdr>
      <w:rPr>
        <w:iCs/>
        <w:color w:val="C0C0C0"/>
        <w:sz w:val="16"/>
        <w:szCs w:val="16"/>
      </w:rPr>
    </w:pPr>
    <w:r w:rsidRPr="00D1323A">
      <w:rPr>
        <w:iCs/>
        <w:noProof/>
        <w:color w:val="C0C0C0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49CFA" wp14:editId="3146DBB1">
              <wp:simplePos x="0" y="0"/>
              <wp:positionH relativeFrom="column">
                <wp:posOffset>4579260</wp:posOffset>
              </wp:positionH>
              <wp:positionV relativeFrom="paragraph">
                <wp:posOffset>26670</wp:posOffset>
              </wp:positionV>
              <wp:extent cx="833463" cy="274320"/>
              <wp:effectExtent l="0" t="0" r="508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463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1958" w:rsidRDefault="003C1958" w:rsidP="003C195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548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548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C1958" w:rsidRDefault="003C1958" w:rsidP="003C19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49CF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0.55pt;margin-top:2.1pt;width:65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" stroked="f">
              <v:textbox>
                <w:txbxContent>
                  <w:p w:rsidR="003C1958" w:rsidRDefault="003C1958" w:rsidP="003C195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3548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3548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3C1958" w:rsidRDefault="003C1958" w:rsidP="003C1958"/>
                </w:txbxContent>
              </v:textbox>
            </v:shape>
          </w:pict>
        </mc:Fallback>
      </mc:AlternateContent>
    </w:r>
    <w:r w:rsidRPr="00D1323A">
      <w:rPr>
        <w:iCs/>
        <w:color w:val="C0C0C0"/>
        <w:sz w:val="16"/>
        <w:szCs w:val="16"/>
      </w:rPr>
      <w:t xml:space="preserve">Consip S.p.A. - </w:t>
    </w:r>
    <w:r>
      <w:rPr>
        <w:iCs/>
        <w:color w:val="C0C0C0"/>
        <w:sz w:val="16"/>
        <w:szCs w:val="16"/>
      </w:rPr>
      <w:t>Consultazione del mercato per</w:t>
    </w:r>
    <w:r w:rsidR="00BF6973">
      <w:rPr>
        <w:iCs/>
        <w:color w:val="C0C0C0"/>
        <w:sz w:val="16"/>
        <w:szCs w:val="16"/>
      </w:rPr>
      <w:t xml:space="preserve"> la fornitura di trattamenti di Dialisi – Appendice 2</w:t>
    </w:r>
  </w:p>
  <w:p w:rsidR="003C1958" w:rsidRDefault="003C1958" w:rsidP="003C1958">
    <w:pPr>
      <w:pStyle w:val="Pidipagina"/>
      <w:pBdr>
        <w:top w:val="single" w:sz="4" w:space="1" w:color="auto"/>
      </w:pBdr>
      <w:rPr>
        <w:sz w:val="16"/>
        <w:szCs w:val="16"/>
      </w:rPr>
    </w:pPr>
    <w:r>
      <w:rPr>
        <w:iCs/>
        <w:color w:val="C0C0C0"/>
        <w:sz w:val="16"/>
        <w:szCs w:val="16"/>
      </w:rPr>
      <w:t>Ver. 2.3 - Data Aggiornamento: 04/08/2023</w:t>
    </w:r>
  </w:p>
  <w:p w:rsidR="003C1958" w:rsidRDefault="003C1958" w:rsidP="003C1958">
    <w:pPr>
      <w:pStyle w:val="Pidipagina"/>
      <w:rPr>
        <w:iCs/>
        <w:color w:val="C0C0C0"/>
        <w:sz w:val="16"/>
        <w:szCs w:val="16"/>
      </w:rPr>
    </w:pPr>
    <w:r>
      <w:rPr>
        <w:iCs/>
        <w:color w:val="C0C0C0"/>
        <w:sz w:val="16"/>
        <w:szCs w:val="16"/>
      </w:rPr>
      <w:t>Classificazione documento: Consip Public</w:t>
    </w:r>
  </w:p>
  <w:p w:rsidR="003C1958" w:rsidRDefault="003C1958" w:rsidP="003C1958">
    <w:pPr>
      <w:pStyle w:val="Pidipagina"/>
      <w:rPr>
        <w:iCs/>
        <w:color w:val="808080" w:themeColor="background1" w:themeShade="80"/>
        <w:sz w:val="16"/>
        <w:szCs w:val="16"/>
      </w:rPr>
    </w:pPr>
    <w:r>
      <w:rPr>
        <w:iCs/>
        <w:color w:val="C0C0C0"/>
        <w:sz w:val="16"/>
        <w:szCs w:val="16"/>
      </w:rPr>
      <w:t>Codice documento: SGQ1_MODU_000022_00</w:t>
    </w:r>
  </w:p>
  <w:p w:rsidR="003C1958" w:rsidRDefault="003C19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2D" w:rsidRDefault="0077152D" w:rsidP="003C1958">
      <w:pPr>
        <w:spacing w:after="0" w:line="240" w:lineRule="auto"/>
      </w:pPr>
      <w:r>
        <w:separator/>
      </w:r>
    </w:p>
  </w:footnote>
  <w:footnote w:type="continuationSeparator" w:id="0">
    <w:p w:rsidR="0077152D" w:rsidRDefault="0077152D" w:rsidP="003C1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45E"/>
    <w:multiLevelType w:val="hybridMultilevel"/>
    <w:tmpl w:val="12C202EE"/>
    <w:lvl w:ilvl="0" w:tplc="B49E81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E7B47"/>
    <w:multiLevelType w:val="hybridMultilevel"/>
    <w:tmpl w:val="CC6E0FEE"/>
    <w:lvl w:ilvl="0" w:tplc="B49E81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6D07"/>
    <w:multiLevelType w:val="hybridMultilevel"/>
    <w:tmpl w:val="D65AC826"/>
    <w:lvl w:ilvl="0" w:tplc="B49E81E8">
      <w:numFmt w:val="bullet"/>
      <w:lvlText w:val="-"/>
      <w:lvlJc w:val="left"/>
      <w:pPr>
        <w:ind w:left="76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58"/>
    <w:rsid w:val="00035483"/>
    <w:rsid w:val="000767AB"/>
    <w:rsid w:val="00080086"/>
    <w:rsid w:val="001344EA"/>
    <w:rsid w:val="001B3E51"/>
    <w:rsid w:val="00255291"/>
    <w:rsid w:val="002A4E59"/>
    <w:rsid w:val="003C1958"/>
    <w:rsid w:val="00712E80"/>
    <w:rsid w:val="0077152D"/>
    <w:rsid w:val="00BE4B54"/>
    <w:rsid w:val="00BF6973"/>
    <w:rsid w:val="00E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28B9"/>
  <w15:chartTrackingRefBased/>
  <w15:docId w15:val="{29D255E5-D345-408E-ACD3-52C195C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C19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3C19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958"/>
  </w:style>
  <w:style w:type="paragraph" w:styleId="Pidipagina">
    <w:name w:val="footer"/>
    <w:basedOn w:val="Normale"/>
    <w:link w:val="PidipaginaCarattere"/>
    <w:uiPriority w:val="99"/>
    <w:unhideWhenUsed/>
    <w:rsid w:val="003C1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958"/>
  </w:style>
  <w:style w:type="table" w:styleId="Grigliatabella">
    <w:name w:val="Table Grid"/>
    <w:basedOn w:val="Tabellanormale"/>
    <w:rsid w:val="00EA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 S.p.A.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Micara Andrea</dc:creator>
  <cp:keywords/>
  <dc:description/>
  <cp:lastModifiedBy>Micara Andrea</cp:lastModifiedBy>
  <cp:revision>6</cp:revision>
  <dcterms:created xsi:type="dcterms:W3CDTF">2023-12-13T15:35:00Z</dcterms:created>
  <dcterms:modified xsi:type="dcterms:W3CDTF">2023-12-18T11:27:00Z</dcterms:modified>
</cp:coreProperties>
</file>